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AB5E" w14:textId="77777777" w:rsidR="000A3799" w:rsidRDefault="00317FC7">
      <w:pPr>
        <w:pStyle w:val="P68B1DB1-BodyText1"/>
        <w:ind w:left="2977"/>
      </w:pPr>
      <w:r>
        <w:rPr>
          <w:noProof/>
        </w:rPr>
        <w:drawing>
          <wp:inline distT="0" distB="0" distL="0" distR="0" wp14:anchorId="30680C87" wp14:editId="22B575D4">
            <wp:extent cx="2154811" cy="100050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54811" cy="1000505"/>
                    </a:xfrm>
                    <a:prstGeom prst="rect">
                      <a:avLst/>
                    </a:prstGeom>
                  </pic:spPr>
                </pic:pic>
              </a:graphicData>
            </a:graphic>
          </wp:inline>
        </w:drawing>
      </w:r>
    </w:p>
    <w:p w14:paraId="5F6CF6B6" w14:textId="77777777" w:rsidR="000A3799" w:rsidRDefault="00317FC7">
      <w:pPr>
        <w:pStyle w:val="Heading1"/>
        <w:spacing w:before="67" w:line="276" w:lineRule="auto"/>
        <w:ind w:left="2532" w:right="2676" w:firstLine="5"/>
      </w:pPr>
      <w:r>
        <w:t>FENERBAHÇE UNIVERSITY LEGISLATIVE COMMISSION DIRECTIVE</w:t>
      </w:r>
    </w:p>
    <w:p w14:paraId="72417B7B" w14:textId="77777777" w:rsidR="000A3799" w:rsidRDefault="000A3799">
      <w:pPr>
        <w:pStyle w:val="BodyText"/>
        <w:spacing w:before="201"/>
        <w:rPr>
          <w:b/>
        </w:rPr>
      </w:pPr>
    </w:p>
    <w:p w14:paraId="552B15F1" w14:textId="77777777" w:rsidR="000A3799" w:rsidRDefault="00317FC7">
      <w:pPr>
        <w:pStyle w:val="P68B1DB1-Normal2"/>
        <w:ind w:left="5" w:right="147"/>
        <w:jc w:val="center"/>
      </w:pPr>
      <w:r>
        <w:t>PART ONE</w:t>
      </w:r>
    </w:p>
    <w:p w14:paraId="70F5ACEB" w14:textId="77777777" w:rsidR="000A3799" w:rsidRDefault="00317FC7">
      <w:pPr>
        <w:pStyle w:val="Heading2"/>
        <w:spacing w:before="41"/>
        <w:ind w:left="7" w:right="147"/>
        <w:jc w:val="center"/>
      </w:pPr>
      <w:r>
        <w:t>Purpose, Scope, Basis, and Definitions</w:t>
      </w:r>
    </w:p>
    <w:p w14:paraId="1BF7A291" w14:textId="77777777" w:rsidR="000A3799" w:rsidRDefault="000A3799">
      <w:pPr>
        <w:pStyle w:val="BodyText"/>
        <w:spacing w:before="83"/>
        <w:rPr>
          <w:b/>
        </w:rPr>
      </w:pPr>
    </w:p>
    <w:p w14:paraId="06245D6F" w14:textId="77777777" w:rsidR="000A3799" w:rsidRDefault="00317FC7">
      <w:pPr>
        <w:pStyle w:val="P68B1DB1-Normal2"/>
        <w:spacing w:before="1"/>
        <w:ind w:left="141"/>
      </w:pPr>
      <w:r>
        <w:t>Purpose</w:t>
      </w:r>
    </w:p>
    <w:p w14:paraId="3C212D1D" w14:textId="77777777" w:rsidR="000A3799" w:rsidRDefault="00317FC7">
      <w:pPr>
        <w:pStyle w:val="BodyText"/>
        <w:spacing w:before="41" w:line="276" w:lineRule="auto"/>
        <w:ind w:left="141"/>
      </w:pPr>
      <w:r>
        <w:rPr>
          <w:b/>
        </w:rPr>
        <w:t xml:space="preserve">ARTICLE 1 – </w:t>
      </w:r>
      <w:r>
        <w:t>(1) This directive outlines the procedures and principles governing the formation, working principles, and duties of the Fenerbahçe University Legislative Commission.</w:t>
      </w:r>
    </w:p>
    <w:p w14:paraId="5FCC7771" w14:textId="77777777" w:rsidR="000A3799" w:rsidRDefault="000A3799">
      <w:pPr>
        <w:pStyle w:val="BodyText"/>
        <w:spacing w:before="42"/>
      </w:pPr>
    </w:p>
    <w:p w14:paraId="420F15F3" w14:textId="77777777" w:rsidR="000A3799" w:rsidRDefault="00317FC7">
      <w:pPr>
        <w:pStyle w:val="Heading2"/>
      </w:pPr>
      <w:r>
        <w:t>Scope</w:t>
      </w:r>
    </w:p>
    <w:p w14:paraId="57C9D455" w14:textId="77777777" w:rsidR="000A3799" w:rsidRDefault="00317FC7">
      <w:pPr>
        <w:pStyle w:val="BodyText"/>
        <w:spacing w:before="41" w:line="276" w:lineRule="auto"/>
        <w:ind w:left="141"/>
      </w:pPr>
      <w:r>
        <w:rPr>
          <w:b/>
        </w:rPr>
        <w:t xml:space="preserve">ARTICLE 2 – </w:t>
      </w:r>
      <w:r>
        <w:t>(1) This directive covers the procedures and principles for the formation, working principles, and duties of the Fenerbahçe University Legislative Commission.</w:t>
      </w:r>
    </w:p>
    <w:p w14:paraId="74E39E89" w14:textId="77777777" w:rsidR="000A3799" w:rsidRDefault="000A3799">
      <w:pPr>
        <w:pStyle w:val="BodyText"/>
        <w:spacing w:before="42"/>
      </w:pPr>
    </w:p>
    <w:p w14:paraId="5B45EFEB" w14:textId="77777777" w:rsidR="000A3799" w:rsidRDefault="00317FC7">
      <w:pPr>
        <w:pStyle w:val="Heading2"/>
      </w:pPr>
      <w:r>
        <w:t>Basis</w:t>
      </w:r>
    </w:p>
    <w:p w14:paraId="2511F7D8" w14:textId="77777777" w:rsidR="000A3799" w:rsidRDefault="00317FC7">
      <w:pPr>
        <w:pStyle w:val="BodyText"/>
        <w:spacing w:before="41" w:line="276" w:lineRule="auto"/>
        <w:ind w:left="141"/>
      </w:pPr>
      <w:r>
        <w:rPr>
          <w:b/>
        </w:rPr>
        <w:t xml:space="preserve">ARTICLE 3 – </w:t>
      </w:r>
      <w:r>
        <w:t>(1) This directive is based on Articles 13, 14, and 15 of the Higher Education Law No. 2547.</w:t>
      </w:r>
    </w:p>
    <w:p w14:paraId="3D5DDB68" w14:textId="77777777" w:rsidR="000A3799" w:rsidRDefault="000A3799">
      <w:pPr>
        <w:pStyle w:val="BodyText"/>
        <w:spacing w:before="39"/>
      </w:pPr>
    </w:p>
    <w:p w14:paraId="54B6F8A0" w14:textId="77777777" w:rsidR="000A3799" w:rsidRDefault="00317FC7">
      <w:pPr>
        <w:pStyle w:val="Heading2"/>
      </w:pPr>
      <w:r>
        <w:t>Definitions</w:t>
      </w:r>
    </w:p>
    <w:p w14:paraId="0A6CF5C9" w14:textId="77777777" w:rsidR="000A3799" w:rsidRDefault="00317FC7">
      <w:pPr>
        <w:pStyle w:val="P68B1DB1-Normal3"/>
        <w:spacing w:before="44"/>
        <w:ind w:left="141"/>
      </w:pPr>
      <w:r>
        <w:rPr>
          <w:b/>
        </w:rPr>
        <w:t xml:space="preserve">ARTICLE 4- </w:t>
      </w:r>
      <w:r>
        <w:t xml:space="preserve">(1) The definitions in this directive are as </w:t>
      </w:r>
      <w:proofErr w:type="gramStart"/>
      <w:r>
        <w:t>follows;</w:t>
      </w:r>
      <w:proofErr w:type="gramEnd"/>
    </w:p>
    <w:p w14:paraId="3DE05C7C" w14:textId="3F189090" w:rsidR="000A3799" w:rsidRDefault="00317FC7" w:rsidP="004E523A">
      <w:pPr>
        <w:pStyle w:val="BodyText"/>
        <w:tabs>
          <w:tab w:val="left" w:pos="2971"/>
        </w:tabs>
        <w:spacing w:before="41"/>
        <w:ind w:left="141"/>
      </w:pPr>
      <w:r>
        <w:t>Academic Unit:</w:t>
      </w:r>
      <w:r>
        <w:tab/>
        <w:t>Academic and administrative units within Fenerbahçe University,</w:t>
      </w:r>
    </w:p>
    <w:p w14:paraId="6348D9FC" w14:textId="2EB2B927" w:rsidR="000A3799" w:rsidRDefault="00317FC7">
      <w:pPr>
        <w:pStyle w:val="BodyText"/>
        <w:tabs>
          <w:tab w:val="left" w:pos="2973"/>
        </w:tabs>
        <w:spacing w:before="41" w:line="278" w:lineRule="auto"/>
        <w:ind w:left="2971" w:right="285" w:hanging="2831"/>
      </w:pPr>
      <w:r>
        <w:t>Program:</w:t>
      </w:r>
      <w:r>
        <w:tab/>
      </w:r>
      <w:r>
        <w:tab/>
        <w:t xml:space="preserve">All kinds of education and training programs conducted within the </w:t>
      </w:r>
      <w:r w:rsidR="004E523A">
        <w:t>U</w:t>
      </w:r>
      <w:r>
        <w:t>niversity,</w:t>
      </w:r>
    </w:p>
    <w:p w14:paraId="7CDF89AF" w14:textId="77777777" w:rsidR="000A3799" w:rsidRDefault="00317FC7">
      <w:pPr>
        <w:pStyle w:val="BodyText"/>
        <w:tabs>
          <w:tab w:val="left" w:pos="2973"/>
        </w:tabs>
        <w:spacing w:line="272" w:lineRule="exact"/>
        <w:ind w:left="141"/>
      </w:pPr>
      <w:r>
        <w:t xml:space="preserve">Chairman: </w:t>
      </w:r>
      <w:r>
        <w:tab/>
      </w:r>
      <w:r>
        <w:t>Chairman of Fenerbahçe University Legislation Commission,</w:t>
      </w:r>
    </w:p>
    <w:p w14:paraId="26B2096B" w14:textId="5BBC4489" w:rsidR="000A3799" w:rsidRDefault="00317FC7" w:rsidP="004E523A">
      <w:pPr>
        <w:pStyle w:val="BodyText"/>
        <w:tabs>
          <w:tab w:val="left" w:pos="2973"/>
        </w:tabs>
        <w:spacing w:before="40"/>
        <w:ind w:left="2971" w:hanging="2829"/>
      </w:pPr>
      <w:r>
        <w:t>Head of the Department</w:t>
      </w:r>
      <w:r>
        <w:t>:</w:t>
      </w:r>
      <w:r>
        <w:tab/>
        <w:t>Head of the Department</w:t>
      </w:r>
      <w:r>
        <w:t xml:space="preserve"> of Editorial Affairs and Decisions at Fenerbahçe Unive</w:t>
      </w:r>
      <w:r w:rsidR="004E523A">
        <w:t>rsity,</w:t>
      </w:r>
    </w:p>
    <w:p w14:paraId="172017AE" w14:textId="77777777" w:rsidR="000A3799" w:rsidRDefault="00317FC7">
      <w:pPr>
        <w:pStyle w:val="BodyText"/>
        <w:tabs>
          <w:tab w:val="left" w:pos="2973"/>
        </w:tabs>
        <w:spacing w:before="41"/>
        <w:ind w:left="141"/>
      </w:pPr>
      <w:r>
        <w:t>Commission:</w:t>
      </w:r>
      <w:r>
        <w:tab/>
        <w:t>The Fenerbahçe University Legislative Commission,</w:t>
      </w:r>
    </w:p>
    <w:p w14:paraId="45391E77" w14:textId="77777777" w:rsidR="000A3799" w:rsidRDefault="00317FC7">
      <w:pPr>
        <w:pStyle w:val="BodyText"/>
        <w:tabs>
          <w:tab w:val="left" w:pos="2973"/>
        </w:tabs>
        <w:spacing w:before="43"/>
        <w:ind w:left="141"/>
      </w:pPr>
      <w:r>
        <w:t>Rector:</w:t>
      </w:r>
      <w:r>
        <w:tab/>
        <w:t>Fenerbahçe University Rector,</w:t>
      </w:r>
    </w:p>
    <w:p w14:paraId="3B52942C" w14:textId="77777777" w:rsidR="000A3799" w:rsidRDefault="00317FC7">
      <w:pPr>
        <w:pStyle w:val="BodyText"/>
        <w:tabs>
          <w:tab w:val="left" w:pos="2973"/>
        </w:tabs>
        <w:spacing w:before="41"/>
        <w:ind w:left="141"/>
      </w:pPr>
      <w:r>
        <w:t>Senate:</w:t>
      </w:r>
      <w:r>
        <w:tab/>
        <w:t>Fenerbahçe University Senate,</w:t>
      </w:r>
    </w:p>
    <w:p w14:paraId="6A0B26C3" w14:textId="77777777" w:rsidR="000A3799" w:rsidRDefault="00317FC7" w:rsidP="004E523A">
      <w:pPr>
        <w:pStyle w:val="BodyText"/>
        <w:tabs>
          <w:tab w:val="left" w:pos="3033"/>
        </w:tabs>
        <w:spacing w:before="41"/>
        <w:ind w:left="2971" w:hanging="2829"/>
      </w:pPr>
      <w:r>
        <w:t>University:</w:t>
      </w:r>
      <w:r>
        <w:tab/>
        <w:t>Fenerbahçe University,</w:t>
      </w:r>
    </w:p>
    <w:p w14:paraId="48DAEB52" w14:textId="77777777" w:rsidR="000A3799" w:rsidRDefault="00317FC7" w:rsidP="004E523A">
      <w:pPr>
        <w:pStyle w:val="BodyText"/>
        <w:tabs>
          <w:tab w:val="left" w:pos="2973"/>
        </w:tabs>
        <w:spacing w:before="41" w:line="278" w:lineRule="auto"/>
        <w:ind w:left="2971" w:right="2268" w:hanging="2829"/>
      </w:pPr>
      <w:r>
        <w:t>Board of Directors:</w:t>
      </w:r>
      <w:r>
        <w:tab/>
        <w:t>The Board of Directors of Fenerbahçe University.</w:t>
      </w:r>
    </w:p>
    <w:p w14:paraId="11827286" w14:textId="77777777" w:rsidR="000A3799" w:rsidRDefault="000A3799">
      <w:pPr>
        <w:pStyle w:val="BodyText"/>
        <w:rPr>
          <w:sz w:val="20"/>
        </w:rPr>
      </w:pPr>
    </w:p>
    <w:p w14:paraId="547027F7" w14:textId="77777777" w:rsidR="000A3799" w:rsidRDefault="000A3799">
      <w:pPr>
        <w:pStyle w:val="BodyText"/>
        <w:rPr>
          <w:sz w:val="20"/>
        </w:rPr>
      </w:pPr>
    </w:p>
    <w:p w14:paraId="6DBA0BCA" w14:textId="77777777" w:rsidR="000A3799" w:rsidRDefault="000A3799">
      <w:pPr>
        <w:pStyle w:val="BodyText"/>
        <w:rPr>
          <w:sz w:val="20"/>
        </w:rPr>
      </w:pPr>
    </w:p>
    <w:p w14:paraId="15633527" w14:textId="77777777" w:rsidR="000A3799" w:rsidRDefault="000A3799">
      <w:pPr>
        <w:pStyle w:val="BodyText"/>
        <w:rPr>
          <w:sz w:val="20"/>
        </w:rPr>
      </w:pPr>
    </w:p>
    <w:p w14:paraId="19FADAE2" w14:textId="77777777" w:rsidR="000A3799" w:rsidRDefault="000A3799">
      <w:pPr>
        <w:pStyle w:val="BodyText"/>
        <w:rPr>
          <w:sz w:val="20"/>
        </w:rPr>
      </w:pPr>
    </w:p>
    <w:p w14:paraId="2296A95A" w14:textId="77777777" w:rsidR="000A3799" w:rsidRDefault="000A3799">
      <w:pPr>
        <w:pStyle w:val="BodyText"/>
        <w:rPr>
          <w:sz w:val="20"/>
        </w:rPr>
      </w:pPr>
    </w:p>
    <w:p w14:paraId="08EB9C85" w14:textId="77777777" w:rsidR="000A3799" w:rsidRDefault="000A3799">
      <w:pPr>
        <w:pStyle w:val="BodyText"/>
        <w:spacing w:before="49"/>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9"/>
        <w:gridCol w:w="1424"/>
        <w:gridCol w:w="1558"/>
      </w:tblGrid>
      <w:tr w:rsidR="000A3799" w14:paraId="21D5E8AE" w14:textId="77777777">
        <w:trPr>
          <w:trHeight w:val="414"/>
        </w:trPr>
        <w:tc>
          <w:tcPr>
            <w:tcW w:w="2127" w:type="dxa"/>
          </w:tcPr>
          <w:p w14:paraId="51E03DFB" w14:textId="71B1589F" w:rsidR="000A3799" w:rsidRDefault="00317FC7">
            <w:pPr>
              <w:pStyle w:val="P68B1DB1-TableParagraph4"/>
              <w:spacing w:before="42"/>
              <w:rPr>
                <w:rFonts w:ascii="Calibri" w:hAnsi="Calibri"/>
              </w:rPr>
            </w:pPr>
            <w:r>
              <w:t xml:space="preserve">Doc. code: </w:t>
            </w:r>
            <w:r>
              <w:rPr>
                <w:rFonts w:ascii="Calibri" w:hAnsi="Calibri"/>
              </w:rPr>
              <w:t>YÖN.REK.30</w:t>
            </w:r>
          </w:p>
        </w:tc>
        <w:tc>
          <w:tcPr>
            <w:tcW w:w="1985" w:type="dxa"/>
          </w:tcPr>
          <w:p w14:paraId="22B6B1B5" w14:textId="77777777" w:rsidR="000A3799" w:rsidRDefault="00317FC7">
            <w:pPr>
              <w:pStyle w:val="P68B1DB1-TableParagraph4"/>
              <w:spacing w:before="42"/>
              <w:rPr>
                <w:rFonts w:ascii="Calibri"/>
              </w:rPr>
            </w:pPr>
            <w:r>
              <w:t xml:space="preserve">RELEASE DATE: </w:t>
            </w:r>
            <w:r>
              <w:rPr>
                <w:rFonts w:ascii="Calibri"/>
              </w:rPr>
              <w:t>14.11.2024</w:t>
            </w:r>
          </w:p>
        </w:tc>
        <w:tc>
          <w:tcPr>
            <w:tcW w:w="1839" w:type="dxa"/>
          </w:tcPr>
          <w:p w14:paraId="55CC3954" w14:textId="755472E5" w:rsidR="000A3799" w:rsidRDefault="00317FC7">
            <w:pPr>
              <w:pStyle w:val="P68B1DB1-TableParagraph4"/>
              <w:ind w:left="109"/>
            </w:pPr>
            <w:r>
              <w:t xml:space="preserve">REV DATE: </w:t>
            </w:r>
            <w:r>
              <w:rPr>
                <w:szCs w:val="16"/>
              </w:rPr>
              <w:t>28.08.2025</w:t>
            </w:r>
          </w:p>
        </w:tc>
        <w:tc>
          <w:tcPr>
            <w:tcW w:w="1424" w:type="dxa"/>
          </w:tcPr>
          <w:p w14:paraId="16C03DC9" w14:textId="1AE5421D" w:rsidR="000A3799" w:rsidRDefault="00317FC7">
            <w:pPr>
              <w:pStyle w:val="P68B1DB1-TableParagraph4"/>
              <w:ind w:left="325"/>
            </w:pPr>
            <w:r>
              <w:t>REV. NO: 01</w:t>
            </w:r>
          </w:p>
        </w:tc>
        <w:tc>
          <w:tcPr>
            <w:tcW w:w="1558" w:type="dxa"/>
          </w:tcPr>
          <w:p w14:paraId="680EFB91" w14:textId="77777777" w:rsidR="000A3799" w:rsidRDefault="00317FC7">
            <w:pPr>
              <w:pStyle w:val="P68B1DB1-TableParagraph4"/>
              <w:ind w:left="203"/>
            </w:pPr>
            <w:r>
              <w:t>INTERNAL ONLY</w:t>
            </w:r>
          </w:p>
        </w:tc>
      </w:tr>
    </w:tbl>
    <w:p w14:paraId="264C307B" w14:textId="77777777" w:rsidR="000A3799" w:rsidRDefault="000A3799">
      <w:pPr>
        <w:pStyle w:val="TableParagraph"/>
        <w:rPr>
          <w:sz w:val="16"/>
        </w:rPr>
        <w:sectPr w:rsidR="000A3799">
          <w:footerReference w:type="default" r:id="rId8"/>
          <w:type w:val="continuous"/>
          <w:pgSz w:w="11910" w:h="16840"/>
          <w:pgMar w:top="1400" w:right="1133" w:bottom="640" w:left="1275" w:header="0" w:footer="448" w:gutter="0"/>
          <w:pgNumType w:start="1"/>
          <w:cols w:space="720"/>
        </w:sectPr>
      </w:pPr>
    </w:p>
    <w:p w14:paraId="53ECAD48" w14:textId="77777777" w:rsidR="000A3799" w:rsidRDefault="00317FC7">
      <w:pPr>
        <w:pStyle w:val="Heading1"/>
        <w:spacing w:before="76"/>
        <w:ind w:right="144"/>
      </w:pPr>
      <w:r>
        <w:lastRenderedPageBreak/>
        <w:t>PART TWO</w:t>
      </w:r>
    </w:p>
    <w:p w14:paraId="39C091C0" w14:textId="77777777" w:rsidR="000A3799" w:rsidRDefault="00317FC7">
      <w:pPr>
        <w:pStyle w:val="Heading2"/>
        <w:spacing w:before="44"/>
        <w:ind w:left="0" w:right="147"/>
        <w:jc w:val="center"/>
      </w:pPr>
      <w:r>
        <w:t>Formation, Working Principles, and Duties of the Commission</w:t>
      </w:r>
    </w:p>
    <w:p w14:paraId="2BA4507D" w14:textId="77777777" w:rsidR="000A3799" w:rsidRDefault="000A3799">
      <w:pPr>
        <w:pStyle w:val="BodyText"/>
        <w:spacing w:before="82"/>
        <w:rPr>
          <w:b/>
        </w:rPr>
      </w:pPr>
    </w:p>
    <w:p w14:paraId="59B087CD" w14:textId="77777777" w:rsidR="000A3799" w:rsidRDefault="00317FC7">
      <w:pPr>
        <w:pStyle w:val="P68B1DB1-Normal2"/>
        <w:ind w:left="141"/>
        <w:jc w:val="both"/>
      </w:pPr>
      <w:r>
        <w:t>Formation of the Commission</w:t>
      </w:r>
    </w:p>
    <w:p w14:paraId="6456ACBF" w14:textId="77777777" w:rsidR="000A3799" w:rsidRDefault="00317FC7">
      <w:pPr>
        <w:pStyle w:val="BodyText"/>
        <w:spacing w:before="41" w:line="278" w:lineRule="auto"/>
        <w:ind w:left="141" w:right="284"/>
        <w:jc w:val="both"/>
      </w:pPr>
      <w:r>
        <w:rPr>
          <w:b/>
        </w:rPr>
        <w:t xml:space="preserve">ARTICLE 5 – </w:t>
      </w:r>
      <w:r>
        <w:t>(1) The Legislative Commission is a body established within the University Senate, consisting of four members elected by the Senate from among the full-time faculty members of the University.</w:t>
      </w:r>
    </w:p>
    <w:p w14:paraId="6C2DFD17" w14:textId="77777777" w:rsidR="000A3799" w:rsidRDefault="00317FC7">
      <w:pPr>
        <w:pStyle w:val="P68B1DB1-ListParagraph5"/>
        <w:numPr>
          <w:ilvl w:val="0"/>
          <w:numId w:val="2"/>
        </w:numPr>
        <w:tabs>
          <w:tab w:val="left" w:pos="478"/>
        </w:tabs>
        <w:spacing w:before="0" w:line="272" w:lineRule="exact"/>
        <w:ind w:left="478" w:hanging="337"/>
        <w:jc w:val="both"/>
      </w:pPr>
      <w:r>
        <w:t>Members serve a term of three years. A member whose term has expired may be reappointed.</w:t>
      </w:r>
    </w:p>
    <w:p w14:paraId="3B53562A" w14:textId="77777777" w:rsidR="000A3799" w:rsidRDefault="00317FC7">
      <w:pPr>
        <w:pStyle w:val="P68B1DB1-ListParagraph5"/>
        <w:numPr>
          <w:ilvl w:val="0"/>
          <w:numId w:val="2"/>
        </w:numPr>
        <w:tabs>
          <w:tab w:val="left" w:pos="478"/>
        </w:tabs>
        <w:spacing w:before="40"/>
        <w:ind w:left="478" w:hanging="337"/>
        <w:jc w:val="both"/>
      </w:pPr>
      <w:r>
        <w:t>In appointing members, consideration is given to their familiarity with legislation and legal matters.</w:t>
      </w:r>
    </w:p>
    <w:p w14:paraId="071D5803" w14:textId="681204DA" w:rsidR="000A3799" w:rsidRDefault="00317FC7">
      <w:pPr>
        <w:pStyle w:val="P68B1DB1-ListParagraph5"/>
        <w:numPr>
          <w:ilvl w:val="0"/>
          <w:numId w:val="2"/>
        </w:numPr>
        <w:tabs>
          <w:tab w:val="left" w:pos="497"/>
        </w:tabs>
        <w:spacing w:line="276" w:lineRule="auto"/>
        <w:ind w:left="141" w:right="281" w:firstLine="0"/>
        <w:jc w:val="both"/>
      </w:pPr>
      <w:r>
        <w:t xml:space="preserve">The members of the Commission elect a </w:t>
      </w:r>
      <w:proofErr w:type="gramStart"/>
      <w:r w:rsidR="004E523A">
        <w:t>Chairman</w:t>
      </w:r>
      <w:proofErr w:type="gramEnd"/>
      <w:r>
        <w:t xml:space="preserve"> from among themselves at the first meeting. The Chairman is responsible for preparing the agenda, notifying the members, setting the date and location of the meeting, conducting the meetings, and reporting the decisions to the Rector for inclusion in the Senate agenda. The Chairman may appoint one of the Commission members as the Vice-Chairman. The Vice-Chairman performs duties assigned by the Chairman and presides over committee meetings in the Chairman’s absence.</w:t>
      </w:r>
    </w:p>
    <w:p w14:paraId="0BC61AE6" w14:textId="6A706EAC" w:rsidR="000A3799" w:rsidRDefault="00317FC7">
      <w:pPr>
        <w:pStyle w:val="P68B1DB1-ListParagraph5"/>
        <w:numPr>
          <w:ilvl w:val="0"/>
          <w:numId w:val="2"/>
        </w:numPr>
        <w:tabs>
          <w:tab w:val="left" w:pos="509"/>
        </w:tabs>
        <w:spacing w:before="2" w:line="276" w:lineRule="auto"/>
        <w:ind w:left="141" w:right="287" w:firstLine="0"/>
        <w:jc w:val="both"/>
      </w:pPr>
      <w:r>
        <w:t>The Head of the</w:t>
      </w:r>
      <w:r>
        <w:t xml:space="preserve"> Department </w:t>
      </w:r>
      <w:r>
        <w:t xml:space="preserve">serves as the Commission’s rapporteur. The </w:t>
      </w:r>
      <w:r>
        <w:t xml:space="preserve">Head of the Department </w:t>
      </w:r>
      <w:r>
        <w:t>attends meetings without voting rights and may offer opinions.</w:t>
      </w:r>
    </w:p>
    <w:p w14:paraId="4A0298AF" w14:textId="77777777" w:rsidR="000A3799" w:rsidRDefault="000A3799">
      <w:pPr>
        <w:pStyle w:val="BodyText"/>
        <w:spacing w:before="40"/>
      </w:pPr>
    </w:p>
    <w:p w14:paraId="60A85514" w14:textId="77777777" w:rsidR="000A3799" w:rsidRDefault="00317FC7">
      <w:pPr>
        <w:pStyle w:val="Heading2"/>
        <w:jc w:val="both"/>
      </w:pPr>
      <w:r>
        <w:t>Working principles of the Commission</w:t>
      </w:r>
    </w:p>
    <w:p w14:paraId="34D4C27F" w14:textId="77777777" w:rsidR="000A3799" w:rsidRDefault="00317FC7">
      <w:pPr>
        <w:pStyle w:val="BodyText"/>
        <w:spacing w:before="43"/>
        <w:ind w:left="141"/>
        <w:jc w:val="both"/>
      </w:pPr>
      <w:r>
        <w:rPr>
          <w:b/>
        </w:rPr>
        <w:t xml:space="preserve">ARTICLE 6 – </w:t>
      </w:r>
      <w:r>
        <w:t>(1) The working principles of the Commission are as follows:</w:t>
      </w:r>
    </w:p>
    <w:p w14:paraId="613660FF" w14:textId="77777777" w:rsidR="000A3799" w:rsidRDefault="00317FC7">
      <w:pPr>
        <w:pStyle w:val="P68B1DB1-ListParagraph5"/>
        <w:numPr>
          <w:ilvl w:val="1"/>
          <w:numId w:val="2"/>
        </w:numPr>
        <w:tabs>
          <w:tab w:val="left" w:pos="860"/>
        </w:tabs>
        <w:ind w:left="860" w:hanging="359"/>
        <w:jc w:val="both"/>
      </w:pPr>
      <w:r>
        <w:t>The decisions made by the Commission are advisory to the Senate.</w:t>
      </w:r>
    </w:p>
    <w:p w14:paraId="7E33EED3" w14:textId="77777777" w:rsidR="000A3799" w:rsidRDefault="00317FC7">
      <w:pPr>
        <w:pStyle w:val="P68B1DB1-ListParagraph5"/>
        <w:numPr>
          <w:ilvl w:val="1"/>
          <w:numId w:val="2"/>
        </w:numPr>
        <w:tabs>
          <w:tab w:val="left" w:pos="861"/>
        </w:tabs>
        <w:spacing w:line="276" w:lineRule="auto"/>
        <w:ind w:right="288"/>
        <w:jc w:val="both"/>
      </w:pPr>
      <w:r>
        <w:t>Issues referred by the Rector are directly added to the commission agenda, and if requested by the Rector, an extraordinary meeting will be held to discuss them.</w:t>
      </w:r>
    </w:p>
    <w:p w14:paraId="295E0CD7" w14:textId="77777777" w:rsidR="000A3799" w:rsidRDefault="00317FC7">
      <w:pPr>
        <w:pStyle w:val="P68B1DB1-ListParagraph5"/>
        <w:numPr>
          <w:ilvl w:val="1"/>
          <w:numId w:val="2"/>
        </w:numPr>
        <w:tabs>
          <w:tab w:val="left" w:pos="861"/>
        </w:tabs>
        <w:spacing w:before="1" w:line="276" w:lineRule="auto"/>
        <w:ind w:right="281"/>
        <w:jc w:val="both"/>
      </w:pPr>
      <w:r>
        <w:t>For suggestions from academic units to be included on the commission’s agenda, proposals must be submitted in writing to the Editorial Affairs Directorate no later than three (3) working days before the scheduled meeting date.</w:t>
      </w:r>
    </w:p>
    <w:p w14:paraId="181F5512" w14:textId="77777777" w:rsidR="000A3799" w:rsidRDefault="00317FC7">
      <w:pPr>
        <w:pStyle w:val="BodyText"/>
        <w:spacing w:line="278" w:lineRule="auto"/>
        <w:ind w:left="861" w:right="283" w:hanging="360"/>
        <w:jc w:val="both"/>
      </w:pPr>
      <w:r>
        <w:t>ç) Suggestions from the units are included on the agenda with the Chairman’s approval. Before the final agenda is announced, it is submitted for the Rector’s approval when necessary.</w:t>
      </w:r>
    </w:p>
    <w:p w14:paraId="050F5987" w14:textId="77777777" w:rsidR="000A3799" w:rsidRDefault="00317FC7">
      <w:pPr>
        <w:pStyle w:val="P68B1DB1-ListParagraph5"/>
        <w:numPr>
          <w:ilvl w:val="1"/>
          <w:numId w:val="2"/>
        </w:numPr>
        <w:tabs>
          <w:tab w:val="left" w:pos="860"/>
        </w:tabs>
        <w:spacing w:before="0" w:line="272" w:lineRule="exact"/>
        <w:ind w:left="860" w:hanging="359"/>
        <w:jc w:val="both"/>
      </w:pPr>
      <w:r>
        <w:t>The agenda is announced to members no later than two (2) business days before the meeting date.</w:t>
      </w:r>
    </w:p>
    <w:p w14:paraId="38EA362F" w14:textId="77777777" w:rsidR="000A3799" w:rsidRDefault="00317FC7">
      <w:pPr>
        <w:pStyle w:val="P68B1DB1-ListParagraph5"/>
        <w:numPr>
          <w:ilvl w:val="1"/>
          <w:numId w:val="2"/>
        </w:numPr>
        <w:tabs>
          <w:tab w:val="left" w:pos="860"/>
        </w:tabs>
        <w:spacing w:before="39"/>
        <w:ind w:left="860" w:hanging="359"/>
        <w:jc w:val="both"/>
      </w:pPr>
      <w:r>
        <w:t>The Commission convenes at the Chairman’s invitation to discuss the agenda.</w:t>
      </w:r>
    </w:p>
    <w:p w14:paraId="0C2D6E03" w14:textId="77777777" w:rsidR="000A3799" w:rsidRDefault="00317FC7">
      <w:pPr>
        <w:pStyle w:val="P68B1DB1-ListParagraph5"/>
        <w:numPr>
          <w:ilvl w:val="1"/>
          <w:numId w:val="2"/>
        </w:numPr>
        <w:tabs>
          <w:tab w:val="left" w:pos="859"/>
          <w:tab w:val="left" w:pos="861"/>
        </w:tabs>
        <w:spacing w:line="276" w:lineRule="auto"/>
        <w:ind w:right="285"/>
        <w:jc w:val="both"/>
      </w:pPr>
      <w:r>
        <w:t>The Commission meets with an absolute majority of its total members and makes decisions based on a majority vote of those present at the meeting. If the votes are tied, the Chairman's vote decides the outcome. Members are not allowed to abstain from voting.</w:t>
      </w:r>
    </w:p>
    <w:p w14:paraId="45E220C3" w14:textId="77777777" w:rsidR="000A3799" w:rsidRDefault="00317FC7">
      <w:pPr>
        <w:pStyle w:val="P68B1DB1-ListParagraph5"/>
        <w:numPr>
          <w:ilvl w:val="1"/>
          <w:numId w:val="2"/>
        </w:numPr>
        <w:tabs>
          <w:tab w:val="left" w:pos="861"/>
        </w:tabs>
        <w:spacing w:before="1" w:line="276" w:lineRule="auto"/>
        <w:ind w:right="283"/>
        <w:jc w:val="both"/>
      </w:pPr>
      <w:r>
        <w:t>Items on the agenda that do not comply with legislation or lack proper procedures are returned to the relevant unit with explanations for reevaluation and correction of deficiencies. The revised proposals are then resubmitted to the agenda for discussion and decision.</w:t>
      </w:r>
    </w:p>
    <w:p w14:paraId="3FE98C57" w14:textId="77777777" w:rsidR="004E523A" w:rsidRDefault="004E523A" w:rsidP="004E523A">
      <w:pPr>
        <w:pStyle w:val="P68B1DB1-ListParagraph5"/>
        <w:tabs>
          <w:tab w:val="left" w:pos="861"/>
        </w:tabs>
        <w:spacing w:before="1" w:line="276" w:lineRule="auto"/>
        <w:ind w:right="283"/>
        <w:jc w:val="left"/>
      </w:pPr>
    </w:p>
    <w:p w14:paraId="71BC553A" w14:textId="77777777" w:rsidR="004E523A" w:rsidRDefault="004E523A" w:rsidP="004E523A">
      <w:pPr>
        <w:pStyle w:val="BodyText"/>
        <w:spacing w:before="105"/>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9"/>
        <w:gridCol w:w="1424"/>
        <w:gridCol w:w="1558"/>
      </w:tblGrid>
      <w:tr w:rsidR="004E523A" w14:paraId="3C0C42DF" w14:textId="77777777" w:rsidTr="00F202BB">
        <w:trPr>
          <w:trHeight w:val="414"/>
        </w:trPr>
        <w:tc>
          <w:tcPr>
            <w:tcW w:w="2127" w:type="dxa"/>
          </w:tcPr>
          <w:p w14:paraId="611E7C18" w14:textId="4FC2728D" w:rsidR="004E523A" w:rsidRDefault="004E523A" w:rsidP="00F202BB">
            <w:pPr>
              <w:pStyle w:val="P68B1DB1-TableParagraph4"/>
              <w:spacing w:before="42"/>
              <w:rPr>
                <w:rFonts w:ascii="Calibri" w:hAnsi="Calibri"/>
              </w:rPr>
            </w:pPr>
            <w:r>
              <w:t>Doc. code:</w:t>
            </w:r>
            <w:r w:rsidR="00317FC7">
              <w:t xml:space="preserve"> </w:t>
            </w:r>
            <w:r>
              <w:rPr>
                <w:rFonts w:ascii="Calibri" w:hAnsi="Calibri"/>
              </w:rPr>
              <w:t>YÖN.REK.30</w:t>
            </w:r>
          </w:p>
        </w:tc>
        <w:tc>
          <w:tcPr>
            <w:tcW w:w="1985" w:type="dxa"/>
          </w:tcPr>
          <w:p w14:paraId="698B7F74" w14:textId="77777777" w:rsidR="004E523A" w:rsidRDefault="004E523A" w:rsidP="00F202BB">
            <w:pPr>
              <w:pStyle w:val="P68B1DB1-TableParagraph4"/>
              <w:spacing w:before="42"/>
              <w:rPr>
                <w:rFonts w:ascii="Calibri"/>
              </w:rPr>
            </w:pPr>
            <w:r>
              <w:t xml:space="preserve">RELEASE DATE: </w:t>
            </w:r>
            <w:r>
              <w:rPr>
                <w:rFonts w:ascii="Calibri"/>
              </w:rPr>
              <w:t>14.11.2024</w:t>
            </w:r>
          </w:p>
        </w:tc>
        <w:tc>
          <w:tcPr>
            <w:tcW w:w="1839" w:type="dxa"/>
          </w:tcPr>
          <w:p w14:paraId="27A58412" w14:textId="14E9DC77" w:rsidR="004E523A" w:rsidRDefault="004E523A" w:rsidP="00F202BB">
            <w:pPr>
              <w:pStyle w:val="P68B1DB1-TableParagraph4"/>
              <w:ind w:left="109"/>
            </w:pPr>
            <w:r>
              <w:t xml:space="preserve">REV DATE: </w:t>
            </w:r>
            <w:r w:rsidR="00317FC7">
              <w:rPr>
                <w:szCs w:val="16"/>
              </w:rPr>
              <w:t>28.08.2025</w:t>
            </w:r>
          </w:p>
        </w:tc>
        <w:tc>
          <w:tcPr>
            <w:tcW w:w="1424" w:type="dxa"/>
          </w:tcPr>
          <w:p w14:paraId="13C874D8" w14:textId="551731B2" w:rsidR="004E523A" w:rsidRDefault="004E523A" w:rsidP="00F202BB">
            <w:pPr>
              <w:pStyle w:val="P68B1DB1-TableParagraph4"/>
              <w:ind w:left="325"/>
            </w:pPr>
            <w:r>
              <w:t xml:space="preserve">REV. NO: </w:t>
            </w:r>
            <w:r w:rsidR="00317FC7">
              <w:t>01</w:t>
            </w:r>
          </w:p>
        </w:tc>
        <w:tc>
          <w:tcPr>
            <w:tcW w:w="1558" w:type="dxa"/>
          </w:tcPr>
          <w:p w14:paraId="0C372ED4" w14:textId="77777777" w:rsidR="004E523A" w:rsidRDefault="004E523A" w:rsidP="00F202BB">
            <w:pPr>
              <w:pStyle w:val="P68B1DB1-TableParagraph4"/>
              <w:ind w:left="203"/>
            </w:pPr>
            <w:r>
              <w:t>INTERNAL ONLY</w:t>
            </w:r>
          </w:p>
        </w:tc>
      </w:tr>
    </w:tbl>
    <w:p w14:paraId="4BC30334" w14:textId="77777777" w:rsidR="004E523A" w:rsidRDefault="004E523A" w:rsidP="004E523A">
      <w:pPr>
        <w:pStyle w:val="P68B1DB1-ListParagraph5"/>
        <w:tabs>
          <w:tab w:val="left" w:pos="861"/>
        </w:tabs>
        <w:spacing w:before="1" w:line="276" w:lineRule="auto"/>
        <w:ind w:right="283"/>
        <w:jc w:val="left"/>
      </w:pPr>
    </w:p>
    <w:p w14:paraId="39B17572" w14:textId="77777777" w:rsidR="004E523A" w:rsidRDefault="004E523A" w:rsidP="004E523A">
      <w:pPr>
        <w:pStyle w:val="P68B1DB1-ListParagraph5"/>
        <w:tabs>
          <w:tab w:val="left" w:pos="861"/>
        </w:tabs>
        <w:spacing w:before="1" w:line="276" w:lineRule="auto"/>
        <w:ind w:left="0" w:right="283" w:firstLine="0"/>
        <w:jc w:val="left"/>
      </w:pPr>
    </w:p>
    <w:p w14:paraId="0F0FB11C" w14:textId="77777777" w:rsidR="000A3799" w:rsidRDefault="00317FC7">
      <w:pPr>
        <w:pStyle w:val="BodyText"/>
        <w:spacing w:line="276" w:lineRule="auto"/>
        <w:ind w:left="861" w:right="283" w:hanging="360"/>
        <w:jc w:val="both"/>
      </w:pPr>
      <w:r>
        <w:lastRenderedPageBreak/>
        <w:t>ğ) During the examination of agenda items for compliance with the legislation, only their adherence to legislation is reviewed. Problematic, incomplete, or contradictory aspects of the proposal regarding legislation are identified and clearly communicated in writing to the relevant unit, requesting the necessary corrections. If the unit fails to make the necessary corrections, the Commission may either make the corrections ex officio or reject the proposal.</w:t>
      </w:r>
    </w:p>
    <w:p w14:paraId="3F8B46BE" w14:textId="77777777" w:rsidR="004E523A" w:rsidRDefault="00317FC7" w:rsidP="004E523A">
      <w:pPr>
        <w:pStyle w:val="P68B1DB1-ListParagraph5"/>
        <w:numPr>
          <w:ilvl w:val="1"/>
          <w:numId w:val="2"/>
        </w:numPr>
        <w:tabs>
          <w:tab w:val="left" w:pos="860"/>
        </w:tabs>
        <w:spacing w:before="76" w:line="276" w:lineRule="auto"/>
        <w:ind w:right="285"/>
        <w:jc w:val="both"/>
      </w:pPr>
      <w:r>
        <w:t>Issues approved by the Commission are submitted to the Senate for final approval.</w:t>
      </w:r>
    </w:p>
    <w:p w14:paraId="7572C54E" w14:textId="21D33B01" w:rsidR="000A3799" w:rsidRDefault="00317FC7" w:rsidP="004E523A">
      <w:pPr>
        <w:pStyle w:val="P68B1DB1-ListParagraph5"/>
        <w:tabs>
          <w:tab w:val="left" w:pos="860"/>
        </w:tabs>
        <w:spacing w:before="76" w:line="276" w:lineRule="auto"/>
        <w:ind w:left="501" w:right="285" w:firstLine="0"/>
      </w:pPr>
      <w:r>
        <w:t>ı) The membership of any member who misses 3 (three) consecutive Commission meetings without an excuse is automatically terminated, and the Chairman notifies the Rector in writing. The Rector appoints a new member within a maximum of 7 days.</w:t>
      </w:r>
    </w:p>
    <w:p w14:paraId="4F082E5B" w14:textId="77777777" w:rsidR="000A3799" w:rsidRDefault="000A3799">
      <w:pPr>
        <w:pStyle w:val="BodyText"/>
        <w:spacing w:before="42"/>
      </w:pPr>
    </w:p>
    <w:p w14:paraId="07E73DFE" w14:textId="77777777" w:rsidR="000A3799" w:rsidRDefault="00317FC7">
      <w:pPr>
        <w:pStyle w:val="Heading2"/>
      </w:pPr>
      <w:r>
        <w:t>Duties of the Commission</w:t>
      </w:r>
    </w:p>
    <w:p w14:paraId="4D41E016" w14:textId="77777777" w:rsidR="000A3799" w:rsidRDefault="00317FC7">
      <w:pPr>
        <w:pStyle w:val="BodyText"/>
        <w:spacing w:before="44"/>
        <w:ind w:left="141"/>
      </w:pPr>
      <w:r>
        <w:rPr>
          <w:b/>
        </w:rPr>
        <w:t xml:space="preserve">ARTICLE 7 – </w:t>
      </w:r>
      <w:r>
        <w:t>(1) The duties of the Legislative Commission are as follows:</w:t>
      </w:r>
    </w:p>
    <w:p w14:paraId="733E8946" w14:textId="77777777" w:rsidR="000A3799" w:rsidRDefault="00317FC7">
      <w:pPr>
        <w:pStyle w:val="P68B1DB1-ListParagraph5"/>
        <w:numPr>
          <w:ilvl w:val="0"/>
          <w:numId w:val="1"/>
        </w:numPr>
        <w:tabs>
          <w:tab w:val="left" w:pos="860"/>
        </w:tabs>
        <w:spacing w:before="40"/>
        <w:ind w:left="860" w:hanging="359"/>
      </w:pPr>
      <w:r>
        <w:t>Drafts of internal legislation governing academic programs,</w:t>
      </w:r>
    </w:p>
    <w:p w14:paraId="4125481A" w14:textId="77777777" w:rsidR="000A3799" w:rsidRDefault="00317FC7">
      <w:pPr>
        <w:pStyle w:val="P68B1DB1-ListParagraph5"/>
        <w:numPr>
          <w:ilvl w:val="0"/>
          <w:numId w:val="1"/>
        </w:numPr>
        <w:tabs>
          <w:tab w:val="left" w:pos="860"/>
        </w:tabs>
        <w:ind w:left="860" w:hanging="359"/>
      </w:pPr>
      <w:r>
        <w:t>Drafts of internal legislation governing the curricula of academic units,</w:t>
      </w:r>
    </w:p>
    <w:p w14:paraId="4E4BE915" w14:textId="77777777" w:rsidR="000A3799" w:rsidRDefault="00317FC7">
      <w:pPr>
        <w:pStyle w:val="P68B1DB1-ListParagraph5"/>
        <w:numPr>
          <w:ilvl w:val="0"/>
          <w:numId w:val="1"/>
        </w:numPr>
        <w:tabs>
          <w:tab w:val="left" w:pos="861"/>
        </w:tabs>
        <w:spacing w:line="278" w:lineRule="auto"/>
        <w:ind w:right="286"/>
      </w:pPr>
      <w:r>
        <w:t>Compliance of draft directives and regulations on education and training with relevant legislation,</w:t>
      </w:r>
    </w:p>
    <w:p w14:paraId="5139AA16" w14:textId="1DD6C079" w:rsidR="000A3799" w:rsidRDefault="00317FC7">
      <w:pPr>
        <w:pStyle w:val="BodyText"/>
        <w:spacing w:line="272" w:lineRule="exact"/>
        <w:ind w:left="501"/>
      </w:pPr>
      <w:proofErr w:type="gramStart"/>
      <w:r>
        <w:t>ç)</w:t>
      </w:r>
      <w:r w:rsidR="004E523A">
        <w:t xml:space="preserve">  </w:t>
      </w:r>
      <w:r>
        <w:t xml:space="preserve"> </w:t>
      </w:r>
      <w:proofErr w:type="gramEnd"/>
      <w:r>
        <w:t>All regulations, directives, procedures, and principles governing the University’s operations,</w:t>
      </w:r>
    </w:p>
    <w:p w14:paraId="2C3EF791" w14:textId="25A9DA20" w:rsidR="000A3799" w:rsidRDefault="00317FC7">
      <w:pPr>
        <w:pStyle w:val="P68B1DB1-ListParagraph5"/>
        <w:numPr>
          <w:ilvl w:val="0"/>
          <w:numId w:val="1"/>
        </w:numPr>
        <w:tabs>
          <w:tab w:val="left" w:pos="860"/>
        </w:tabs>
        <w:ind w:left="860" w:hanging="359"/>
      </w:pPr>
      <w:r>
        <w:t>Issues considered beneficial by the Chairman of the Commission for discussion in the Commission,</w:t>
      </w:r>
    </w:p>
    <w:p w14:paraId="06AC4CE5" w14:textId="77777777" w:rsidR="000A3799" w:rsidRDefault="00317FC7">
      <w:pPr>
        <w:pStyle w:val="P68B1DB1-ListParagraph5"/>
        <w:numPr>
          <w:ilvl w:val="0"/>
          <w:numId w:val="1"/>
        </w:numPr>
        <w:tabs>
          <w:tab w:val="left" w:pos="860"/>
        </w:tabs>
        <w:ind w:left="860" w:hanging="359"/>
      </w:pPr>
      <w:r>
        <w:t>Other matters referred by the Senate or Rector.</w:t>
      </w:r>
    </w:p>
    <w:p w14:paraId="1B0EB127" w14:textId="77777777" w:rsidR="000A3799" w:rsidRDefault="000A3799">
      <w:pPr>
        <w:pStyle w:val="BodyText"/>
      </w:pPr>
    </w:p>
    <w:p w14:paraId="1DAEF558" w14:textId="77777777" w:rsidR="000A3799" w:rsidRDefault="000A3799">
      <w:pPr>
        <w:pStyle w:val="BodyText"/>
        <w:spacing w:before="125"/>
      </w:pPr>
    </w:p>
    <w:p w14:paraId="5C06F214" w14:textId="77777777" w:rsidR="000A3799" w:rsidRDefault="00317FC7">
      <w:pPr>
        <w:pStyle w:val="Heading1"/>
        <w:ind w:left="6"/>
      </w:pPr>
      <w:r>
        <w:t>PART THREE</w:t>
      </w:r>
    </w:p>
    <w:p w14:paraId="1181E38D" w14:textId="77777777" w:rsidR="000A3799" w:rsidRDefault="00317FC7">
      <w:pPr>
        <w:pStyle w:val="Heading2"/>
        <w:spacing w:before="41"/>
        <w:ind w:left="0" w:right="144"/>
        <w:jc w:val="center"/>
      </w:pPr>
      <w:r>
        <w:t>Effective Date and Implementation</w:t>
      </w:r>
    </w:p>
    <w:p w14:paraId="3F035C7C" w14:textId="77777777" w:rsidR="000A3799" w:rsidRDefault="000A3799">
      <w:pPr>
        <w:pStyle w:val="BodyText"/>
        <w:spacing w:before="84"/>
        <w:rPr>
          <w:b/>
        </w:rPr>
      </w:pPr>
    </w:p>
    <w:p w14:paraId="7EFFC6BA" w14:textId="77777777" w:rsidR="000A3799" w:rsidRDefault="00317FC7">
      <w:pPr>
        <w:pStyle w:val="P68B1DB1-Normal2"/>
        <w:ind w:left="141"/>
      </w:pPr>
      <w:r>
        <w:t>Effective Date</w:t>
      </w:r>
    </w:p>
    <w:p w14:paraId="3577CAED" w14:textId="77777777" w:rsidR="000A3799" w:rsidRDefault="00317FC7">
      <w:pPr>
        <w:pStyle w:val="BodyText"/>
        <w:spacing w:before="41"/>
        <w:ind w:left="141"/>
      </w:pPr>
      <w:r>
        <w:rPr>
          <w:b/>
        </w:rPr>
        <w:t>ARTICLE 8 –</w:t>
      </w:r>
      <w:r>
        <w:t xml:space="preserve"> (1) This directive takes effect on the date of its approval by the Senate.</w:t>
      </w:r>
    </w:p>
    <w:p w14:paraId="4FB0BB97" w14:textId="77777777" w:rsidR="000A3799" w:rsidRDefault="000A3799">
      <w:pPr>
        <w:pStyle w:val="BodyText"/>
        <w:spacing w:before="81"/>
      </w:pPr>
    </w:p>
    <w:p w14:paraId="4A19735C" w14:textId="77777777" w:rsidR="000A3799" w:rsidRDefault="00317FC7">
      <w:pPr>
        <w:pStyle w:val="Heading2"/>
      </w:pPr>
      <w:r>
        <w:t>Implementation</w:t>
      </w:r>
    </w:p>
    <w:p w14:paraId="4D6B72A7" w14:textId="77777777" w:rsidR="000A3799" w:rsidRDefault="00317FC7">
      <w:pPr>
        <w:pStyle w:val="BodyText"/>
        <w:spacing w:before="44"/>
        <w:ind w:left="141"/>
      </w:pPr>
      <w:r>
        <w:rPr>
          <w:b/>
        </w:rPr>
        <w:t xml:space="preserve">ARTICLE 9 – </w:t>
      </w:r>
      <w:r>
        <w:t>(1) The provisions of this directive are implemented by the Rector.</w:t>
      </w:r>
    </w:p>
    <w:p w14:paraId="03793EA6" w14:textId="77777777" w:rsidR="000A3799" w:rsidRDefault="000A3799">
      <w:pPr>
        <w:pStyle w:val="BodyText"/>
        <w:rPr>
          <w:sz w:val="20"/>
        </w:rPr>
      </w:pPr>
    </w:p>
    <w:p w14:paraId="5D650AB8" w14:textId="77777777" w:rsidR="000A3799" w:rsidRDefault="000A3799">
      <w:pPr>
        <w:pStyle w:val="BodyText"/>
        <w:rPr>
          <w:sz w:val="20"/>
        </w:rPr>
      </w:pPr>
    </w:p>
    <w:p w14:paraId="08591954" w14:textId="77777777" w:rsidR="000A3799" w:rsidRDefault="000A3799">
      <w:pPr>
        <w:pStyle w:val="BodyText"/>
        <w:rPr>
          <w:sz w:val="20"/>
        </w:rPr>
      </w:pPr>
    </w:p>
    <w:p w14:paraId="5D2D4EE1" w14:textId="77777777" w:rsidR="000A3799" w:rsidRDefault="000A3799">
      <w:pPr>
        <w:pStyle w:val="BodyText"/>
        <w:rPr>
          <w:sz w:val="20"/>
        </w:rPr>
      </w:pPr>
    </w:p>
    <w:p w14:paraId="2E3803C0" w14:textId="77777777" w:rsidR="000A3799" w:rsidRDefault="000A3799">
      <w:pPr>
        <w:pStyle w:val="BodyText"/>
        <w:rPr>
          <w:sz w:val="20"/>
        </w:rPr>
      </w:pPr>
    </w:p>
    <w:p w14:paraId="35F4B9D0" w14:textId="77777777" w:rsidR="000A3799" w:rsidRDefault="000A3799">
      <w:pPr>
        <w:pStyle w:val="BodyText"/>
        <w:rPr>
          <w:sz w:val="20"/>
        </w:rPr>
      </w:pPr>
    </w:p>
    <w:p w14:paraId="08892AF8" w14:textId="77777777" w:rsidR="000A3799" w:rsidRDefault="000A3799">
      <w:pPr>
        <w:pStyle w:val="BodyText"/>
        <w:rPr>
          <w:sz w:val="20"/>
        </w:rPr>
      </w:pPr>
    </w:p>
    <w:p w14:paraId="11422DBC" w14:textId="77777777" w:rsidR="000A3799" w:rsidRDefault="000A3799">
      <w:pPr>
        <w:pStyle w:val="BodyText"/>
        <w:rPr>
          <w:sz w:val="20"/>
        </w:rPr>
      </w:pPr>
    </w:p>
    <w:p w14:paraId="32E13D45" w14:textId="77777777" w:rsidR="000A3799" w:rsidRDefault="000A3799">
      <w:pPr>
        <w:pStyle w:val="BodyText"/>
        <w:rPr>
          <w:sz w:val="20"/>
        </w:rPr>
      </w:pPr>
    </w:p>
    <w:p w14:paraId="05F84DD9" w14:textId="77777777" w:rsidR="000A3799" w:rsidRDefault="000A3799">
      <w:pPr>
        <w:pStyle w:val="BodyText"/>
        <w:rPr>
          <w:sz w:val="20"/>
        </w:rPr>
      </w:pPr>
    </w:p>
    <w:p w14:paraId="21CF1FC7" w14:textId="77777777" w:rsidR="000A3799" w:rsidRDefault="000A3799">
      <w:pPr>
        <w:pStyle w:val="BodyText"/>
        <w:rPr>
          <w:sz w:val="20"/>
        </w:rPr>
      </w:pPr>
    </w:p>
    <w:p w14:paraId="2202D3A3" w14:textId="77777777" w:rsidR="000A3799" w:rsidRDefault="000A3799">
      <w:pPr>
        <w:pStyle w:val="BodyText"/>
        <w:rPr>
          <w:sz w:val="20"/>
        </w:rPr>
      </w:pPr>
    </w:p>
    <w:p w14:paraId="617DCC7C" w14:textId="77777777" w:rsidR="000A3799" w:rsidRDefault="000A3799">
      <w:pPr>
        <w:pStyle w:val="BodyText"/>
        <w:rPr>
          <w:sz w:val="20"/>
        </w:rPr>
      </w:pPr>
    </w:p>
    <w:p w14:paraId="321A9AB2" w14:textId="77777777" w:rsidR="000A3799" w:rsidRDefault="000A3799">
      <w:pPr>
        <w:pStyle w:val="BodyText"/>
        <w:spacing w:before="155"/>
        <w:rPr>
          <w:sz w:val="2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5"/>
        <w:gridCol w:w="1839"/>
        <w:gridCol w:w="1424"/>
        <w:gridCol w:w="1558"/>
      </w:tblGrid>
      <w:tr w:rsidR="000A3799" w14:paraId="1F4C6902" w14:textId="77777777">
        <w:trPr>
          <w:trHeight w:val="414"/>
        </w:trPr>
        <w:tc>
          <w:tcPr>
            <w:tcW w:w="2127" w:type="dxa"/>
          </w:tcPr>
          <w:p w14:paraId="41AD7CD9" w14:textId="1C3F9EF9" w:rsidR="000A3799" w:rsidRDefault="00317FC7">
            <w:pPr>
              <w:pStyle w:val="P68B1DB1-TableParagraph4"/>
              <w:spacing w:before="42"/>
              <w:rPr>
                <w:rFonts w:ascii="Calibri" w:hAnsi="Calibri"/>
              </w:rPr>
            </w:pPr>
            <w:r>
              <w:t xml:space="preserve">Doc. </w:t>
            </w:r>
            <w:r>
              <w:t xml:space="preserve">code: </w:t>
            </w:r>
            <w:r>
              <w:rPr>
                <w:rFonts w:ascii="Calibri" w:hAnsi="Calibri"/>
              </w:rPr>
              <w:t>YÖN.REK.30</w:t>
            </w:r>
          </w:p>
        </w:tc>
        <w:tc>
          <w:tcPr>
            <w:tcW w:w="1985" w:type="dxa"/>
          </w:tcPr>
          <w:p w14:paraId="379B7709" w14:textId="77777777" w:rsidR="000A3799" w:rsidRDefault="00317FC7">
            <w:pPr>
              <w:pStyle w:val="P68B1DB1-TableParagraph4"/>
              <w:spacing w:before="42"/>
              <w:rPr>
                <w:rFonts w:ascii="Calibri"/>
              </w:rPr>
            </w:pPr>
            <w:r>
              <w:t xml:space="preserve">RELEASE DATE: </w:t>
            </w:r>
            <w:r>
              <w:rPr>
                <w:rFonts w:ascii="Calibri"/>
              </w:rPr>
              <w:t>14.11.2024</w:t>
            </w:r>
          </w:p>
        </w:tc>
        <w:tc>
          <w:tcPr>
            <w:tcW w:w="1839" w:type="dxa"/>
          </w:tcPr>
          <w:p w14:paraId="623264D1" w14:textId="57969870" w:rsidR="000A3799" w:rsidRDefault="00317FC7">
            <w:pPr>
              <w:pStyle w:val="P68B1DB1-TableParagraph4"/>
              <w:ind w:left="109"/>
            </w:pPr>
            <w:r>
              <w:t xml:space="preserve">REV DATE: </w:t>
            </w:r>
            <w:r>
              <w:rPr>
                <w:szCs w:val="16"/>
              </w:rPr>
              <w:t>28.08.2025</w:t>
            </w:r>
          </w:p>
        </w:tc>
        <w:tc>
          <w:tcPr>
            <w:tcW w:w="1424" w:type="dxa"/>
          </w:tcPr>
          <w:p w14:paraId="425289E1" w14:textId="3377F6B0" w:rsidR="00317FC7" w:rsidRDefault="00317FC7" w:rsidP="00317FC7">
            <w:pPr>
              <w:pStyle w:val="P68B1DB1-TableParagraph4"/>
              <w:ind w:left="325"/>
            </w:pPr>
            <w:r>
              <w:t>REV. NO: 01</w:t>
            </w:r>
          </w:p>
        </w:tc>
        <w:tc>
          <w:tcPr>
            <w:tcW w:w="1558" w:type="dxa"/>
          </w:tcPr>
          <w:p w14:paraId="7380626A" w14:textId="77777777" w:rsidR="000A3799" w:rsidRDefault="00317FC7">
            <w:pPr>
              <w:pStyle w:val="P68B1DB1-TableParagraph4"/>
              <w:ind w:left="203"/>
            </w:pPr>
            <w:r>
              <w:t>INTERNAL ONLY</w:t>
            </w:r>
          </w:p>
        </w:tc>
      </w:tr>
    </w:tbl>
    <w:p w14:paraId="516525CD" w14:textId="77777777" w:rsidR="00431F7A" w:rsidRDefault="00431F7A"/>
    <w:sectPr w:rsidR="00431F7A">
      <w:pgSz w:w="11910" w:h="16840"/>
      <w:pgMar w:top="1320" w:right="1133" w:bottom="640" w:left="1275" w:header="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D6F42" w14:textId="77777777" w:rsidR="00431F7A" w:rsidRDefault="00431F7A">
      <w:r>
        <w:separator/>
      </w:r>
    </w:p>
  </w:endnote>
  <w:endnote w:type="continuationSeparator" w:id="0">
    <w:p w14:paraId="68FE31BA" w14:textId="77777777" w:rsidR="00431F7A" w:rsidRDefault="0043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E3B8" w14:textId="77777777" w:rsidR="000A3799" w:rsidRDefault="00317FC7">
    <w:pPr>
      <w:pStyle w:val="P68B1DB1-BodyText7"/>
      <w:spacing w:line="14" w:lineRule="auto"/>
    </w:pPr>
    <w:r>
      <w:rPr>
        <w:noProof/>
      </w:rPr>
      <mc:AlternateContent>
        <mc:Choice Requires="wps">
          <w:drawing>
            <wp:anchor distT="0" distB="0" distL="0" distR="0" simplePos="0" relativeHeight="487484416" behindDoc="1" locked="0" layoutInCell="1" allowOverlap="1" wp14:anchorId="2C621B8F" wp14:editId="4AC7FFEF">
              <wp:simplePos x="0" y="0"/>
              <wp:positionH relativeFrom="page">
                <wp:posOffset>1497838</wp:posOffset>
              </wp:positionH>
              <wp:positionV relativeFrom="page">
                <wp:posOffset>10104966</wp:posOffset>
              </wp:positionV>
              <wp:extent cx="4027804" cy="1504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7804" cy="150495"/>
                      </a:xfrm>
                      <a:prstGeom prst="rect">
                        <a:avLst/>
                      </a:prstGeom>
                    </wps:spPr>
                    <wps:txbx>
                      <w:txbxContent>
                        <w:p w14:paraId="75B25C7F" w14:textId="77777777" w:rsidR="000A3799" w:rsidRDefault="00317FC7">
                          <w:pPr>
                            <w:pStyle w:val="P68B1DB1-Normal6"/>
                            <w:tabs>
                              <w:tab w:val="left" w:pos="5618"/>
                            </w:tabs>
                            <w:spacing w:before="21"/>
                            <w:ind w:left="20"/>
                            <w:rPr>
                              <w:rFonts w:ascii="Tw Cen MT" w:hAnsi="Tw Cen MT"/>
                              <w:b/>
                            </w:rPr>
                          </w:pPr>
                          <w:r>
                            <w:t>The printed but unsigned version of this document is considered an "uncontrolled copy". Page</w:t>
                          </w:r>
                          <w:r>
                            <w:rPr>
                              <w:rFonts w:ascii="Tw Cen MT" w:hAnsi="Tw Cen MT"/>
                              <w:b/>
                            </w:rPr>
                            <w:fldChar w:fldCharType="begin"/>
                          </w:r>
                          <w:r>
                            <w:rPr>
                              <w:rFonts w:ascii="Tw Cen MT" w:hAnsi="Tw Cen MT"/>
                              <w:b/>
                            </w:rPr>
                            <w:instrText xml:space="preserve"> PAGE </w:instrText>
                          </w:r>
                          <w:r>
                            <w:rPr>
                              <w:rFonts w:ascii="Tw Cen MT" w:hAnsi="Tw Cen MT"/>
                              <w:b/>
                            </w:rPr>
                            <w:fldChar w:fldCharType="separate"/>
                          </w:r>
                          <w:r>
                            <w:rPr>
                              <w:rFonts w:ascii="Tw Cen MT" w:hAnsi="Tw Cen MT"/>
                              <w:b/>
                            </w:rPr>
                            <w:t>3</w:t>
                          </w:r>
                          <w:r>
                            <w:rPr>
                              <w:rFonts w:ascii="Tw Cen MT" w:hAnsi="Tw Cen MT"/>
                              <w:b/>
                            </w:rPr>
                            <w:fldChar w:fldCharType="end"/>
                          </w:r>
                          <w:r>
                            <w:rPr>
                              <w:rFonts w:ascii="Tw Cen MT" w:hAnsi="Tw Cen MT"/>
                              <w:b/>
                            </w:rPr>
                            <w:t xml:space="preserve"> </w:t>
                          </w:r>
                          <w:r>
                            <w:t xml:space="preserve">/ </w:t>
                          </w:r>
                          <w:r>
                            <w:rPr>
                              <w:rFonts w:ascii="Tw Cen MT" w:hAnsi="Tw Cen MT"/>
                              <w:b/>
                            </w:rPr>
                            <w:fldChar w:fldCharType="begin"/>
                          </w:r>
                          <w:r>
                            <w:rPr>
                              <w:rFonts w:ascii="Tw Cen MT" w:hAnsi="Tw Cen MT"/>
                              <w:b/>
                              <w:spacing w:val="-10"/>
                            </w:rPr>
                            <w:instrText xml:space="preserve"> NUMPAGES </w:instrText>
                          </w:r>
                          <w:r>
                            <w:rPr>
                              <w:rFonts w:ascii="Tw Cen MT" w:hAnsi="Tw Cen MT"/>
                              <w:b/>
                              <w:spacing w:val="-10"/>
                            </w:rPr>
                            <w:fldChar w:fldCharType="separate"/>
                          </w:r>
                          <w:r>
                            <w:rPr>
                              <w:rFonts w:ascii="Tw Cen MT" w:hAnsi="Tw Cen MT"/>
                              <w:b/>
                              <w:spacing w:val="-10"/>
                            </w:rPr>
                            <w:t>3</w:t>
                          </w:r>
                          <w:r>
                            <w:rPr>
                              <w:rFonts w:ascii="Tw Cen MT" w:hAnsi="Tw Cen MT"/>
                              <w:b/>
                              <w:spacing w:val="-10"/>
                            </w:rPr>
                            <w:fldChar w:fldCharType="end"/>
                          </w:r>
                          <w:r>
                            <w:t xml:space="preserve"> </w:t>
                          </w:r>
                        </w:p>
                      </w:txbxContent>
                    </wps:txbx>
                    <wps:bodyPr wrap="square" lIns="0" tIns="0" rIns="0" bIns="0" rtlCol="0">
                      <a:noAutofit/>
                    </wps:bodyPr>
                  </wps:wsp>
                </a:graphicData>
              </a:graphic>
            </wp:anchor>
          </w:drawing>
        </mc:Choice>
        <mc:Fallback>
          <w:pict>
            <v:shapetype w14:anchorId="2C621B8F" id="_x0000_t202" coordsize="21600,21600" o:spt="202" path="m,l,21600r21600,l21600,xe">
              <v:stroke joinstyle="miter"/>
              <v:path gradientshapeok="t" o:connecttype="rect"/>
            </v:shapetype>
            <v:shape id="Textbox 1" o:spid="_x0000_s1026" type="#_x0000_t202" style="position:absolute;margin-left:117.95pt;margin-top:795.65pt;width:317.15pt;height:11.85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" filled="f" stroked="f">
              <v:textbox inset="0,0,0,0">
                <w:txbxContent>
                  <w:p w14:paraId="75B25C7F" w14:textId="77777777" w:rsidR="000A3799" w:rsidRDefault="00317FC7">
                    <w:pPr>
                      <w:pStyle w:val="P68B1DB1-Normal6"/>
                      <w:tabs>
                        <w:tab w:val="left" w:pos="5618"/>
                      </w:tabs>
                      <w:spacing w:before="21"/>
                      <w:ind w:left="20"/>
                      <w:rPr>
                        <w:rFonts w:ascii="Tw Cen MT" w:hAnsi="Tw Cen MT"/>
                        <w:b/>
                      </w:rPr>
                    </w:pPr>
                    <w:r>
                      <w:t>The printed but unsigned version of this document is considered an "uncontrolled copy". Page</w:t>
                    </w:r>
                    <w:r>
                      <w:rPr>
                        <w:rFonts w:ascii="Tw Cen MT" w:hAnsi="Tw Cen MT"/>
                        <w:b/>
                      </w:rPr>
                      <w:fldChar w:fldCharType="begin"/>
                    </w:r>
                    <w:r>
                      <w:rPr>
                        <w:rFonts w:ascii="Tw Cen MT" w:hAnsi="Tw Cen MT"/>
                        <w:b/>
                      </w:rPr>
                      <w:instrText xml:space="preserve"> PAGE </w:instrText>
                    </w:r>
                    <w:r>
                      <w:rPr>
                        <w:rFonts w:ascii="Tw Cen MT" w:hAnsi="Tw Cen MT"/>
                        <w:b/>
                      </w:rPr>
                      <w:fldChar w:fldCharType="separate"/>
                    </w:r>
                    <w:r>
                      <w:rPr>
                        <w:rFonts w:ascii="Tw Cen MT" w:hAnsi="Tw Cen MT"/>
                        <w:b/>
                      </w:rPr>
                      <w:t>3</w:t>
                    </w:r>
                    <w:r>
                      <w:rPr>
                        <w:rFonts w:ascii="Tw Cen MT" w:hAnsi="Tw Cen MT"/>
                        <w:b/>
                      </w:rPr>
                      <w:fldChar w:fldCharType="end"/>
                    </w:r>
                    <w:r>
                      <w:rPr>
                        <w:rFonts w:ascii="Tw Cen MT" w:hAnsi="Tw Cen MT"/>
                        <w:b/>
                      </w:rPr>
                      <w:t xml:space="preserve"> </w:t>
                    </w:r>
                    <w:r>
                      <w:t xml:space="preserve">/ </w:t>
                    </w:r>
                    <w:r>
                      <w:rPr>
                        <w:rFonts w:ascii="Tw Cen MT" w:hAnsi="Tw Cen MT"/>
                        <w:b/>
                      </w:rPr>
                      <w:fldChar w:fldCharType="begin"/>
                    </w:r>
                    <w:r>
                      <w:rPr>
                        <w:rFonts w:ascii="Tw Cen MT" w:hAnsi="Tw Cen MT"/>
                        <w:b/>
                        <w:spacing w:val="-10"/>
                      </w:rPr>
                      <w:instrText xml:space="preserve"> NUMPAGES </w:instrText>
                    </w:r>
                    <w:r>
                      <w:rPr>
                        <w:rFonts w:ascii="Tw Cen MT" w:hAnsi="Tw Cen MT"/>
                        <w:b/>
                        <w:spacing w:val="-10"/>
                      </w:rPr>
                      <w:fldChar w:fldCharType="separate"/>
                    </w:r>
                    <w:r>
                      <w:rPr>
                        <w:rFonts w:ascii="Tw Cen MT" w:hAnsi="Tw Cen MT"/>
                        <w:b/>
                        <w:spacing w:val="-10"/>
                      </w:rPr>
                      <w:t>3</w:t>
                    </w:r>
                    <w:r>
                      <w:rPr>
                        <w:rFonts w:ascii="Tw Cen MT" w:hAnsi="Tw Cen MT"/>
                        <w:b/>
                        <w:spacing w:val="-10"/>
                      </w:rP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309E0" w14:textId="77777777" w:rsidR="00431F7A" w:rsidRDefault="00431F7A">
      <w:r>
        <w:separator/>
      </w:r>
    </w:p>
  </w:footnote>
  <w:footnote w:type="continuationSeparator" w:id="0">
    <w:p w14:paraId="70AA4D5C" w14:textId="77777777" w:rsidR="00431F7A" w:rsidRDefault="0043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76"/>
    <w:multiLevelType w:val="hybridMultilevel"/>
    <w:tmpl w:val="67F48048"/>
    <w:lvl w:ilvl="0" w:tplc="D02E14FC">
      <w:start w:val="2"/>
      <w:numFmt w:val="decimal"/>
      <w:lvlText w:val="(%1)"/>
      <w:lvlJc w:val="left"/>
      <w:pPr>
        <w:ind w:left="479"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40436E6">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66C29C42">
      <w:numFmt w:val="bullet"/>
      <w:lvlText w:val="•"/>
      <w:lvlJc w:val="left"/>
      <w:pPr>
        <w:ind w:left="1819" w:hanging="360"/>
      </w:pPr>
      <w:rPr>
        <w:rFonts w:hint="default"/>
        <w:lang w:val="tr-TR" w:eastAsia="en-US" w:bidi="ar-SA"/>
      </w:rPr>
    </w:lvl>
    <w:lvl w:ilvl="3" w:tplc="FB34A440">
      <w:numFmt w:val="bullet"/>
      <w:lvlText w:val="•"/>
      <w:lvlJc w:val="left"/>
      <w:pPr>
        <w:ind w:left="2779" w:hanging="360"/>
      </w:pPr>
      <w:rPr>
        <w:rFonts w:hint="default"/>
        <w:lang w:val="tr-TR" w:eastAsia="en-US" w:bidi="ar-SA"/>
      </w:rPr>
    </w:lvl>
    <w:lvl w:ilvl="4" w:tplc="B612607A">
      <w:numFmt w:val="bullet"/>
      <w:lvlText w:val="•"/>
      <w:lvlJc w:val="left"/>
      <w:pPr>
        <w:ind w:left="3739" w:hanging="360"/>
      </w:pPr>
      <w:rPr>
        <w:rFonts w:hint="default"/>
        <w:lang w:val="tr-TR" w:eastAsia="en-US" w:bidi="ar-SA"/>
      </w:rPr>
    </w:lvl>
    <w:lvl w:ilvl="5" w:tplc="7D022B78">
      <w:numFmt w:val="bullet"/>
      <w:lvlText w:val="•"/>
      <w:lvlJc w:val="left"/>
      <w:pPr>
        <w:ind w:left="4699" w:hanging="360"/>
      </w:pPr>
      <w:rPr>
        <w:rFonts w:hint="default"/>
        <w:lang w:val="tr-TR" w:eastAsia="en-US" w:bidi="ar-SA"/>
      </w:rPr>
    </w:lvl>
    <w:lvl w:ilvl="6" w:tplc="29A623FC">
      <w:numFmt w:val="bullet"/>
      <w:lvlText w:val="•"/>
      <w:lvlJc w:val="left"/>
      <w:pPr>
        <w:ind w:left="5659" w:hanging="360"/>
      </w:pPr>
      <w:rPr>
        <w:rFonts w:hint="default"/>
        <w:lang w:val="tr-TR" w:eastAsia="en-US" w:bidi="ar-SA"/>
      </w:rPr>
    </w:lvl>
    <w:lvl w:ilvl="7" w:tplc="D854B9A4">
      <w:numFmt w:val="bullet"/>
      <w:lvlText w:val="•"/>
      <w:lvlJc w:val="left"/>
      <w:pPr>
        <w:ind w:left="6618" w:hanging="360"/>
      </w:pPr>
      <w:rPr>
        <w:rFonts w:hint="default"/>
        <w:lang w:val="tr-TR" w:eastAsia="en-US" w:bidi="ar-SA"/>
      </w:rPr>
    </w:lvl>
    <w:lvl w:ilvl="8" w:tplc="6A164834">
      <w:numFmt w:val="bullet"/>
      <w:lvlText w:val="•"/>
      <w:lvlJc w:val="left"/>
      <w:pPr>
        <w:ind w:left="7578" w:hanging="360"/>
      </w:pPr>
      <w:rPr>
        <w:rFonts w:hint="default"/>
        <w:lang w:val="tr-TR" w:eastAsia="en-US" w:bidi="ar-SA"/>
      </w:rPr>
    </w:lvl>
  </w:abstractNum>
  <w:abstractNum w:abstractNumId="1" w15:restartNumberingAfterBreak="0">
    <w:nsid w:val="64AE416E"/>
    <w:multiLevelType w:val="hybridMultilevel"/>
    <w:tmpl w:val="92F0A6B0"/>
    <w:lvl w:ilvl="0" w:tplc="413644D4">
      <w:start w:val="1"/>
      <w:numFmt w:val="lowerLetter"/>
      <w:lvlText w:val="%1)"/>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04B4C4AC">
      <w:numFmt w:val="bullet"/>
      <w:lvlText w:val="•"/>
      <w:lvlJc w:val="left"/>
      <w:pPr>
        <w:ind w:left="1723" w:hanging="360"/>
      </w:pPr>
      <w:rPr>
        <w:rFonts w:hint="default"/>
        <w:lang w:val="tr-TR" w:eastAsia="en-US" w:bidi="ar-SA"/>
      </w:rPr>
    </w:lvl>
    <w:lvl w:ilvl="2" w:tplc="840887DC">
      <w:numFmt w:val="bullet"/>
      <w:lvlText w:val="•"/>
      <w:lvlJc w:val="left"/>
      <w:pPr>
        <w:ind w:left="2587" w:hanging="360"/>
      </w:pPr>
      <w:rPr>
        <w:rFonts w:hint="default"/>
        <w:lang w:val="tr-TR" w:eastAsia="en-US" w:bidi="ar-SA"/>
      </w:rPr>
    </w:lvl>
    <w:lvl w:ilvl="3" w:tplc="69903744">
      <w:numFmt w:val="bullet"/>
      <w:lvlText w:val="•"/>
      <w:lvlJc w:val="left"/>
      <w:pPr>
        <w:ind w:left="3451" w:hanging="360"/>
      </w:pPr>
      <w:rPr>
        <w:rFonts w:hint="default"/>
        <w:lang w:val="tr-TR" w:eastAsia="en-US" w:bidi="ar-SA"/>
      </w:rPr>
    </w:lvl>
    <w:lvl w:ilvl="4" w:tplc="89201364">
      <w:numFmt w:val="bullet"/>
      <w:lvlText w:val="•"/>
      <w:lvlJc w:val="left"/>
      <w:pPr>
        <w:ind w:left="4315" w:hanging="360"/>
      </w:pPr>
      <w:rPr>
        <w:rFonts w:hint="default"/>
        <w:lang w:val="tr-TR" w:eastAsia="en-US" w:bidi="ar-SA"/>
      </w:rPr>
    </w:lvl>
    <w:lvl w:ilvl="5" w:tplc="590223D2">
      <w:numFmt w:val="bullet"/>
      <w:lvlText w:val="•"/>
      <w:lvlJc w:val="left"/>
      <w:pPr>
        <w:ind w:left="5179" w:hanging="360"/>
      </w:pPr>
      <w:rPr>
        <w:rFonts w:hint="default"/>
        <w:lang w:val="tr-TR" w:eastAsia="en-US" w:bidi="ar-SA"/>
      </w:rPr>
    </w:lvl>
    <w:lvl w:ilvl="6" w:tplc="826CE876">
      <w:numFmt w:val="bullet"/>
      <w:lvlText w:val="•"/>
      <w:lvlJc w:val="left"/>
      <w:pPr>
        <w:ind w:left="6043" w:hanging="360"/>
      </w:pPr>
      <w:rPr>
        <w:rFonts w:hint="default"/>
        <w:lang w:val="tr-TR" w:eastAsia="en-US" w:bidi="ar-SA"/>
      </w:rPr>
    </w:lvl>
    <w:lvl w:ilvl="7" w:tplc="A36E3FE4">
      <w:numFmt w:val="bullet"/>
      <w:lvlText w:val="•"/>
      <w:lvlJc w:val="left"/>
      <w:pPr>
        <w:ind w:left="6906" w:hanging="360"/>
      </w:pPr>
      <w:rPr>
        <w:rFonts w:hint="default"/>
        <w:lang w:val="tr-TR" w:eastAsia="en-US" w:bidi="ar-SA"/>
      </w:rPr>
    </w:lvl>
    <w:lvl w:ilvl="8" w:tplc="6BAE758A">
      <w:numFmt w:val="bullet"/>
      <w:lvlText w:val="•"/>
      <w:lvlJc w:val="left"/>
      <w:pPr>
        <w:ind w:left="7770" w:hanging="360"/>
      </w:pPr>
      <w:rPr>
        <w:rFonts w:hint="default"/>
        <w:lang w:val="tr-TR" w:eastAsia="en-US" w:bidi="ar-SA"/>
      </w:rPr>
    </w:lvl>
  </w:abstractNum>
  <w:num w:numId="1" w16cid:durableId="187453532">
    <w:abstractNumId w:val="1"/>
  </w:num>
  <w:num w:numId="2" w16cid:durableId="91655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3799"/>
    <w:rsid w:val="000A3799"/>
    <w:rsid w:val="00317FC7"/>
    <w:rsid w:val="00431F7A"/>
    <w:rsid w:val="004E523A"/>
    <w:rsid w:val="00875EBE"/>
    <w:rsid w:val="00E3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AFB4"/>
  <w15:docId w15:val="{F9402B5A-42F5-4ACA-8674-D794E59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right="147"/>
      <w:jc w:val="center"/>
      <w:outlineLvl w:val="0"/>
    </w:pPr>
    <w:rPr>
      <w:b/>
      <w:sz w:val="24"/>
    </w:rPr>
  </w:style>
  <w:style w:type="paragraph" w:styleId="Heading2">
    <w:name w:val="heading 2"/>
    <w:basedOn w:val="Normal"/>
    <w:uiPriority w:val="9"/>
    <w:unhideWhenUsed/>
    <w:qFormat/>
    <w:pPr>
      <w:ind w:left="141"/>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spacing w:before="41"/>
      <w:ind w:left="860" w:hanging="359"/>
      <w:jc w:val="both"/>
    </w:pPr>
  </w:style>
  <w:style w:type="paragraph" w:customStyle="1" w:styleId="TableParagraph">
    <w:name w:val="Table Paragraph"/>
    <w:basedOn w:val="Normal"/>
    <w:uiPriority w:val="1"/>
    <w:qFormat/>
    <w:pPr>
      <w:spacing w:before="57"/>
      <w:ind w:left="110"/>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TableParagraph4">
    <w:name w:val="P68B1DB1-TableParagraph4"/>
    <w:basedOn w:val="TableParagraph"/>
    <w:rPr>
      <w:sz w:val="16"/>
    </w:rPr>
  </w:style>
  <w:style w:type="paragraph" w:customStyle="1" w:styleId="P68B1DB1-ListParagraph5">
    <w:name w:val="P68B1DB1-ListParagraph5"/>
    <w:basedOn w:val="ListParagraph"/>
    <w:rPr>
      <w:sz w:val="24"/>
    </w:rPr>
  </w:style>
  <w:style w:type="paragraph" w:customStyle="1" w:styleId="P68B1DB1-Normal6">
    <w:name w:val="P68B1DB1-Normal6"/>
    <w:basedOn w:val="Normal"/>
    <w:rPr>
      <w:sz w:val="16"/>
    </w:rPr>
  </w:style>
  <w:style w:type="paragraph" w:customStyle="1" w:styleId="P68B1DB1-BodyText7">
    <w:name w:val="P68B1DB1-BodyText7"/>
    <w:basedOn w:val="BodyText"/>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Mehmet Yıldırım ÜÇTUĞ</dc:creator>
  <cp:lastModifiedBy>Mehmet Onur TOĞAN</cp:lastModifiedBy>
  <cp:revision>3</cp:revision>
  <dcterms:created xsi:type="dcterms:W3CDTF">2025-06-11T13:21:00Z</dcterms:created>
  <dcterms:modified xsi:type="dcterms:W3CDTF">2025-09-04T08:42:00Z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Microsoft 365 için</vt:lpwstr>
  </property>
  <property fmtid="{D5CDD505-2E9C-101B-9397-08002B2CF9AE}" pid="4" name="LastSaved">
    <vt:filetime>2025-06-11T00:00:00Z</vt:filetime>
  </property>
  <property fmtid="{D5CDD505-2E9C-101B-9397-08002B2CF9AE}" pid="5" name="Producer">
    <vt:lpwstr>Microsoft® Word Microsoft 365 için</vt:lpwstr>
  </property>
</Properties>
</file>